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240" w:afterLines="100" w:line="240" w:lineRule="atLeas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_GBK" w:hAnsi="宋体" w:eastAsia="方正小标宋_GBK"/>
          <w:snapToGrid w:val="0"/>
          <w:kern w:val="0"/>
          <w:sz w:val="44"/>
          <w:szCs w:val="44"/>
          <w:lang w:eastAsia="zh-CN"/>
        </w:rPr>
      </w:pPr>
      <w:bookmarkStart w:id="0" w:name="_GoBack"/>
      <w:r>
        <w:rPr>
          <w:rFonts w:hint="eastAsia" w:ascii="方正小标宋_GBK" w:hAnsi="宋体" w:eastAsia="方正小标宋_GBK"/>
          <w:snapToGrid w:val="0"/>
          <w:kern w:val="0"/>
          <w:sz w:val="44"/>
          <w:szCs w:val="44"/>
        </w:rPr>
        <w:t>2022年度苏州市软科学研究项目指南</w:t>
      </w:r>
      <w:r>
        <w:rPr>
          <w:rFonts w:hint="eastAsia" w:ascii="方正小标宋_GBK" w:hAnsi="宋体" w:eastAsia="方正小标宋_GBK"/>
          <w:snapToGrid w:val="0"/>
          <w:kern w:val="0"/>
          <w:sz w:val="44"/>
          <w:szCs w:val="44"/>
          <w:lang w:eastAsia="zh-CN"/>
        </w:rPr>
        <w:t>（</w:t>
      </w:r>
      <w:r>
        <w:rPr>
          <w:rFonts w:hint="eastAsia" w:ascii="方正小标宋_GBK" w:hAnsi="宋体" w:eastAsia="方正小标宋_GBK"/>
          <w:snapToGrid w:val="0"/>
          <w:kern w:val="0"/>
          <w:sz w:val="44"/>
          <w:szCs w:val="44"/>
          <w:lang w:val="en-US" w:eastAsia="zh-CN"/>
        </w:rPr>
        <w:t>面上项目</w:t>
      </w:r>
      <w:r>
        <w:rPr>
          <w:rFonts w:hint="eastAsia" w:ascii="方正小标宋_GBK" w:hAnsi="宋体" w:eastAsia="方正小标宋_GBK"/>
          <w:snapToGrid w:val="0"/>
          <w:kern w:val="0"/>
          <w:sz w:val="44"/>
          <w:szCs w:val="44"/>
          <w:lang w:eastAsia="zh-CN"/>
        </w:rPr>
        <w:t>）</w:t>
      </w:r>
    </w:p>
    <w:bookmarkEnd w:id="0"/>
    <w:p>
      <w:pPr>
        <w:pStyle w:val="4"/>
        <w:adjustRightInd w:val="0"/>
        <w:snapToGrid w:val="0"/>
        <w:spacing w:line="600" w:lineRule="atLeast"/>
        <w:ind w:firstLine="643"/>
        <w:rPr>
          <w:rFonts w:hint="eastAsia" w:ascii="楷体_GB2312" w:hAnsi="楷体"/>
          <w:b/>
          <w:color w:val="auto"/>
          <w:sz w:val="32"/>
          <w:szCs w:val="32"/>
        </w:rPr>
      </w:pPr>
    </w:p>
    <w:p>
      <w:pPr>
        <w:pStyle w:val="4"/>
        <w:adjustRightInd w:val="0"/>
        <w:snapToGrid w:val="0"/>
        <w:spacing w:line="600" w:lineRule="atLeast"/>
        <w:ind w:firstLine="643"/>
        <w:rPr>
          <w:rFonts w:hint="eastAsia" w:ascii="楷体_GB2312" w:hAnsi="楷体"/>
          <w:b/>
          <w:color w:val="auto"/>
          <w:sz w:val="32"/>
          <w:szCs w:val="32"/>
        </w:rPr>
      </w:pPr>
      <w:r>
        <w:rPr>
          <w:rFonts w:hint="eastAsia" w:ascii="楷体_GB2312" w:hAnsi="楷体"/>
          <w:b/>
          <w:color w:val="auto"/>
          <w:sz w:val="32"/>
          <w:szCs w:val="32"/>
        </w:rPr>
        <w:t>（一）强化产业创新能力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240007“创新集群”和“数字经济”互促关系研究；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240008 创新集群视角下苏州重点领域科技创新发展战略机遇研究（以电子信息、装备制造、生物医药、先进材料等的细分领域为例）；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240009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苏州重点产业领域创新链和产业链精准对接机制研究（以电子信息、装备制造、生物医药、先进材料等的细分领域为例）；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240010苏州建设新型实验室体系打造战略科技力量路径研究；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240011 苏州重点创新平台协同支撑关系与创新图谱研究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240012 苏州重点领域创新联合体组织模式与路径研究（以电子信息、装备制造、生物医药、先进材料等的细分领域为例）；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240013 促进科研与产业双向链接的新型研发机构发展研究。</w:t>
      </w:r>
    </w:p>
    <w:p>
      <w:pPr>
        <w:pStyle w:val="4"/>
        <w:adjustRightInd w:val="0"/>
        <w:snapToGrid w:val="0"/>
        <w:spacing w:line="600" w:lineRule="atLeast"/>
        <w:ind w:firstLine="643"/>
        <w:rPr>
          <w:rFonts w:hint="eastAsia" w:ascii="楷体_GB2312" w:hAnsi="楷体"/>
          <w:b/>
          <w:color w:val="auto"/>
          <w:sz w:val="32"/>
          <w:szCs w:val="32"/>
        </w:rPr>
      </w:pPr>
      <w:r>
        <w:rPr>
          <w:rFonts w:hint="eastAsia" w:ascii="楷体_GB2312" w:hAnsi="楷体"/>
          <w:b/>
          <w:color w:val="auto"/>
          <w:sz w:val="32"/>
          <w:szCs w:val="32"/>
        </w:rPr>
        <w:t>（二）激发创新主体活力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240014 战略型科学家引进培养路径研究；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240015 先进材料领域行业一流人才（团队）分布态势研究；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240016 苏州构建国际科技人才全周期服务体系研究；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240017 苏州加快培育壮大创新型领军企业集群研究；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240018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企业出题、政产学研用共同参与的重大科学问题凝练机制研究；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240019 激励企业参与基础研究的对策研究。</w:t>
      </w:r>
    </w:p>
    <w:p>
      <w:pPr>
        <w:pStyle w:val="4"/>
        <w:adjustRightInd w:val="0"/>
        <w:snapToGrid w:val="0"/>
        <w:spacing w:line="600" w:lineRule="atLeast"/>
        <w:ind w:firstLine="643"/>
        <w:rPr>
          <w:rFonts w:hint="eastAsia" w:ascii="楷体_GB2312" w:hAnsi="楷体"/>
          <w:b/>
          <w:color w:val="auto"/>
          <w:sz w:val="32"/>
          <w:szCs w:val="32"/>
        </w:rPr>
      </w:pPr>
      <w:r>
        <w:rPr>
          <w:rFonts w:hint="eastAsia" w:ascii="楷体_GB2312" w:hAnsi="楷体"/>
          <w:b/>
          <w:color w:val="auto"/>
          <w:sz w:val="32"/>
          <w:szCs w:val="32"/>
        </w:rPr>
        <w:t>（三）提升创新治理水平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240020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“基础研究特区”科研组织模式和管理机制的借鉴研究；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240021 提升技术要素市场化配置水平的借鉴研究；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240022 苏州科技创新政策评估机制研究；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240023 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科研设备耗材跨境自由流动机制的借鉴研究；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240024 数字经济时代科技管理职能转变研究。</w:t>
      </w:r>
    </w:p>
    <w:p>
      <w:pPr>
        <w:pStyle w:val="4"/>
        <w:adjustRightInd w:val="0"/>
        <w:snapToGrid w:val="0"/>
        <w:spacing w:line="600" w:lineRule="atLeast"/>
        <w:ind w:firstLine="643"/>
        <w:rPr>
          <w:rFonts w:hint="eastAsia" w:ascii="楷体_GB2312" w:hAnsi="楷体"/>
          <w:b/>
          <w:color w:val="auto"/>
          <w:sz w:val="32"/>
          <w:szCs w:val="32"/>
        </w:rPr>
      </w:pPr>
      <w:r>
        <w:rPr>
          <w:rFonts w:hint="eastAsia" w:ascii="楷体_GB2312" w:hAnsi="楷体"/>
          <w:b/>
          <w:color w:val="auto"/>
          <w:sz w:val="32"/>
          <w:szCs w:val="32"/>
        </w:rPr>
        <w:t>（四）优化创新生态环境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240025 苏州协同推进环太湖科技创新圈建设路径研究;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240026 创新金融服务模式完善科技型中小企业培育体系研究；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240027 苏州吸引专业科技服务机构的政策研究；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240028 全链条式孵化服务体系构建研究；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240029 苏州开展国际科技合作的路径研究；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240030 科技支撑苏州碳达峰碳中和目标实现的路径及对策研究；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240031 科研机构危化品使用现状及安全管理研究；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240032 医工结合协同创新苏州发展路径研究；</w:t>
      </w:r>
    </w:p>
    <w:p>
      <w:pPr>
        <w:pStyle w:val="4"/>
        <w:adjustRightInd w:val="0"/>
        <w:snapToGrid w:val="0"/>
        <w:spacing w:line="600" w:lineRule="atLeast"/>
        <w:ind w:firstLine="64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240033 创新驱动现代农业发展的新型路径研究。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029AF"/>
    <w:rsid w:val="43A0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Batang" w:hAnsi="Batang" w:eastAsia="楷体_GB2312" w:cs="仿宋_GB2312"/>
      <w:color w:val="00000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2022-03-09T01:01:00Z</dcterms:created>
  <dc:creator>夜络</dc:creator>
  <cp:lastModifiedBy>夜络</cp:lastModifiedBy>
  <dcterms:modified xsi:type="dcterms:W3CDTF">2022-03-09T01:03:27Z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DB9B38C5028445D09565F0A1AE3E60A8</vt:lpwstr>
  </property>
</Properties>
</file>